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25A5D" w14:textId="2F18FDC5" w:rsidR="00AD1949" w:rsidRPr="001345D9" w:rsidRDefault="00A9020D" w:rsidP="00A9020D">
      <w:pPr>
        <w:jc w:val="center"/>
        <w:rPr>
          <w:rFonts w:ascii="Times New Roman" w:hAnsi="Times New Roman" w:cs="Times New Roman"/>
        </w:rPr>
      </w:pPr>
      <w:bookmarkStart w:id="0" w:name="_GoBack"/>
      <w:bookmarkEnd w:id="0"/>
      <w:r w:rsidRPr="001345D9">
        <w:rPr>
          <w:rFonts w:ascii="Times New Roman" w:hAnsi="Times New Roman" w:cs="Times New Roman"/>
          <w:noProof/>
        </w:rPr>
        <w:drawing>
          <wp:inline distT="0" distB="0" distL="0" distR="0" wp14:anchorId="76D44C27" wp14:editId="17F4F24C">
            <wp:extent cx="9556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333" cy="915030"/>
                    </a:xfrm>
                    <a:prstGeom prst="rect">
                      <a:avLst/>
                    </a:prstGeom>
                    <a:solidFill>
                      <a:srgbClr val="FFFFFF"/>
                    </a:solidFill>
                    <a:ln>
                      <a:noFill/>
                    </a:ln>
                  </pic:spPr>
                </pic:pic>
              </a:graphicData>
            </a:graphic>
          </wp:inline>
        </w:drawing>
      </w:r>
    </w:p>
    <w:p w14:paraId="50DBF706" w14:textId="77777777" w:rsidR="001345D9" w:rsidRPr="001345D9" w:rsidRDefault="001345D9" w:rsidP="00A9020D">
      <w:pPr>
        <w:jc w:val="center"/>
        <w:rPr>
          <w:rFonts w:ascii="Times New Roman" w:hAnsi="Times New Roman" w:cs="Times New Roman"/>
        </w:rPr>
      </w:pPr>
    </w:p>
    <w:p w14:paraId="21A07254" w14:textId="0DCFCB7D" w:rsidR="001345D9" w:rsidRPr="001345D9" w:rsidRDefault="001345D9" w:rsidP="00A9020D">
      <w:pPr>
        <w:jc w:val="center"/>
        <w:rPr>
          <w:rFonts w:ascii="Times New Roman" w:hAnsi="Times New Roman" w:cs="Times New Roman"/>
        </w:rPr>
      </w:pPr>
      <w:r w:rsidRPr="001345D9">
        <w:rPr>
          <w:rFonts w:ascii="Times New Roman" w:hAnsi="Times New Roman" w:cs="Times New Roman"/>
          <w:noProof/>
        </w:rPr>
        <w:drawing>
          <wp:inline distT="0" distB="0" distL="0" distR="0" wp14:anchorId="6C3F5538" wp14:editId="65D9BF6A">
            <wp:extent cx="3533568" cy="456986"/>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2608" cy="458155"/>
                    </a:xfrm>
                    <a:prstGeom prst="rect">
                      <a:avLst/>
                    </a:prstGeom>
                    <a:noFill/>
                    <a:ln>
                      <a:noFill/>
                    </a:ln>
                  </pic:spPr>
                </pic:pic>
              </a:graphicData>
            </a:graphic>
          </wp:inline>
        </w:drawing>
      </w:r>
    </w:p>
    <w:p w14:paraId="234ECF7E" w14:textId="57BF541A" w:rsidR="001345D9" w:rsidRPr="001345D9" w:rsidRDefault="001345D9" w:rsidP="00A9020D">
      <w:pPr>
        <w:jc w:val="center"/>
        <w:rPr>
          <w:rFonts w:ascii="Times New Roman" w:hAnsi="Times New Roman" w:cs="Times New Roman"/>
        </w:rPr>
      </w:pPr>
    </w:p>
    <w:p w14:paraId="2AE16645" w14:textId="65BEFB0B" w:rsidR="00DE072C" w:rsidRPr="001345D9" w:rsidRDefault="00830F61">
      <w:pPr>
        <w:rPr>
          <w:rFonts w:ascii="Times New Roman" w:hAnsi="Times New Roman" w:cs="Times New Roman"/>
        </w:rPr>
      </w:pPr>
      <w:r>
        <w:rPr>
          <w:rFonts w:ascii="Times New Roman" w:hAnsi="Times New Roman" w:cs="Times New Roman"/>
        </w:rPr>
        <w:t>January 30, 2013</w:t>
      </w:r>
    </w:p>
    <w:p w14:paraId="241D3FA8" w14:textId="77777777" w:rsidR="00DE072C" w:rsidRPr="001345D9" w:rsidRDefault="00DE072C">
      <w:pPr>
        <w:rPr>
          <w:rFonts w:ascii="Times New Roman" w:hAnsi="Times New Roman" w:cs="Times New Roman"/>
        </w:rPr>
      </w:pPr>
    </w:p>
    <w:p w14:paraId="111FDAAA" w14:textId="3DB5579B" w:rsidR="00DE072C" w:rsidRPr="001345D9" w:rsidRDefault="00830F61" w:rsidP="00830F61">
      <w:pPr>
        <w:ind w:left="720" w:hanging="720"/>
        <w:rPr>
          <w:rFonts w:ascii="Times New Roman" w:hAnsi="Times New Roman" w:cs="Times New Roman"/>
        </w:rPr>
      </w:pPr>
      <w:r>
        <w:rPr>
          <w:rFonts w:ascii="Times New Roman" w:hAnsi="Times New Roman" w:cs="Times New Roman"/>
        </w:rPr>
        <w:t>To</w:t>
      </w:r>
      <w:r w:rsidR="001345D9" w:rsidRPr="001345D9">
        <w:rPr>
          <w:rFonts w:ascii="Times New Roman" w:hAnsi="Times New Roman" w:cs="Times New Roman"/>
        </w:rPr>
        <w:t xml:space="preserve">:  </w:t>
      </w:r>
      <w:r w:rsidR="001345D9" w:rsidRPr="001345D9">
        <w:rPr>
          <w:rFonts w:ascii="Times New Roman" w:hAnsi="Times New Roman" w:cs="Times New Roman"/>
        </w:rPr>
        <w:tab/>
      </w:r>
      <w:r>
        <w:rPr>
          <w:rFonts w:ascii="Times New Roman" w:hAnsi="Times New Roman" w:cs="Times New Roman"/>
        </w:rPr>
        <w:t xml:space="preserve">Hon. Roger Goodman </w:t>
      </w:r>
      <w:r>
        <w:rPr>
          <w:rFonts w:ascii="Times New Roman" w:hAnsi="Times New Roman" w:cs="Times New Roman"/>
        </w:rPr>
        <w:br/>
      </w:r>
      <w:r w:rsidR="00DE072C" w:rsidRPr="001345D9">
        <w:rPr>
          <w:rFonts w:ascii="Times New Roman" w:hAnsi="Times New Roman" w:cs="Times New Roman"/>
        </w:rPr>
        <w:t>Chair, Committee on Public Safety</w:t>
      </w:r>
    </w:p>
    <w:p w14:paraId="3F185E61" w14:textId="70EE9B5D" w:rsidR="001345D9" w:rsidRPr="001345D9" w:rsidRDefault="001345D9">
      <w:pPr>
        <w:rPr>
          <w:rFonts w:ascii="Times New Roman" w:hAnsi="Times New Roman" w:cs="Times New Roman"/>
        </w:rPr>
      </w:pPr>
      <w:r w:rsidRPr="001345D9">
        <w:rPr>
          <w:rFonts w:ascii="Times New Roman" w:hAnsi="Times New Roman" w:cs="Times New Roman"/>
        </w:rPr>
        <w:t>cc:</w:t>
      </w:r>
      <w:r w:rsidRPr="001345D9">
        <w:rPr>
          <w:rFonts w:ascii="Times New Roman" w:hAnsi="Times New Roman" w:cs="Times New Roman"/>
        </w:rPr>
        <w:tab/>
        <w:t>Rep</w:t>
      </w:r>
      <w:r w:rsidR="00830F61">
        <w:rPr>
          <w:rFonts w:ascii="Times New Roman" w:hAnsi="Times New Roman" w:cs="Times New Roman"/>
        </w:rPr>
        <w:t>s</w:t>
      </w:r>
      <w:r w:rsidRPr="001345D9">
        <w:rPr>
          <w:rFonts w:ascii="Times New Roman" w:hAnsi="Times New Roman" w:cs="Times New Roman"/>
        </w:rPr>
        <w:t>. Moeller, Ryu, Roberts and Pollet</w:t>
      </w:r>
      <w:r w:rsidR="00830F61">
        <w:rPr>
          <w:rFonts w:ascii="Times New Roman" w:hAnsi="Times New Roman" w:cs="Times New Roman"/>
        </w:rPr>
        <w:br/>
      </w:r>
      <w:r w:rsidR="00830F61">
        <w:rPr>
          <w:rFonts w:ascii="Times New Roman" w:hAnsi="Times New Roman" w:cs="Times New Roman"/>
        </w:rPr>
        <w:tab/>
        <w:t>Sarah Koster, Esq., Committee Counsel</w:t>
      </w:r>
    </w:p>
    <w:p w14:paraId="3E17D829" w14:textId="77777777" w:rsidR="00DE072C" w:rsidRPr="001345D9" w:rsidRDefault="00DE072C">
      <w:pPr>
        <w:rPr>
          <w:rFonts w:ascii="Times New Roman" w:hAnsi="Times New Roman" w:cs="Times New Roman"/>
        </w:rPr>
      </w:pPr>
    </w:p>
    <w:p w14:paraId="33CC6BCC" w14:textId="4FCC85B5" w:rsidR="00DE072C" w:rsidRPr="001345D9" w:rsidRDefault="00DE072C">
      <w:pPr>
        <w:rPr>
          <w:rFonts w:ascii="Times New Roman" w:hAnsi="Times New Roman" w:cs="Times New Roman"/>
          <w:b/>
        </w:rPr>
      </w:pPr>
      <w:r w:rsidRPr="001345D9">
        <w:rPr>
          <w:rFonts w:ascii="Times New Roman" w:hAnsi="Times New Roman" w:cs="Times New Roman"/>
        </w:rPr>
        <w:t>RE:</w:t>
      </w:r>
      <w:r w:rsidRPr="001345D9">
        <w:rPr>
          <w:rFonts w:ascii="Times New Roman" w:hAnsi="Times New Roman" w:cs="Times New Roman"/>
        </w:rPr>
        <w:tab/>
      </w:r>
      <w:r w:rsidRPr="001345D9">
        <w:rPr>
          <w:rFonts w:ascii="Times New Roman" w:hAnsi="Times New Roman" w:cs="Times New Roman"/>
          <w:b/>
        </w:rPr>
        <w:t xml:space="preserve">House Bill </w:t>
      </w:r>
      <w:r w:rsidR="009A72DE" w:rsidRPr="001345D9">
        <w:rPr>
          <w:rFonts w:ascii="Times New Roman" w:hAnsi="Times New Roman" w:cs="Times New Roman"/>
          <w:b/>
        </w:rPr>
        <w:t>1262</w:t>
      </w:r>
      <w:r w:rsidRPr="001345D9">
        <w:rPr>
          <w:rFonts w:ascii="Times New Roman" w:hAnsi="Times New Roman" w:cs="Times New Roman"/>
          <w:b/>
        </w:rPr>
        <w:t>, 2013 Regular Session, 63</w:t>
      </w:r>
      <w:r w:rsidRPr="001345D9">
        <w:rPr>
          <w:rFonts w:ascii="Times New Roman" w:hAnsi="Times New Roman" w:cs="Times New Roman"/>
          <w:b/>
          <w:vertAlign w:val="superscript"/>
        </w:rPr>
        <w:t>rd</w:t>
      </w:r>
      <w:r w:rsidRPr="001345D9">
        <w:rPr>
          <w:rFonts w:ascii="Times New Roman" w:hAnsi="Times New Roman" w:cs="Times New Roman"/>
          <w:b/>
        </w:rPr>
        <w:t xml:space="preserve"> Legislature:</w:t>
      </w:r>
    </w:p>
    <w:p w14:paraId="44502EDA" w14:textId="77777777" w:rsidR="00DE072C" w:rsidRPr="001345D9" w:rsidRDefault="00DE072C">
      <w:pPr>
        <w:rPr>
          <w:rFonts w:ascii="Times New Roman" w:hAnsi="Times New Roman" w:cs="Times New Roman"/>
          <w:b/>
        </w:rPr>
      </w:pPr>
    </w:p>
    <w:p w14:paraId="53222E72" w14:textId="0D8994C0" w:rsidR="00DE072C" w:rsidRPr="001345D9" w:rsidRDefault="00DE072C" w:rsidP="00DE072C">
      <w:pPr>
        <w:ind w:left="720"/>
        <w:rPr>
          <w:rFonts w:ascii="Times New Roman" w:hAnsi="Times New Roman" w:cs="Times New Roman"/>
          <w:b/>
        </w:rPr>
      </w:pPr>
      <w:r w:rsidRPr="001345D9">
        <w:rPr>
          <w:rFonts w:ascii="Times New Roman" w:hAnsi="Times New Roman" w:cs="Times New Roman"/>
          <w:b/>
        </w:rPr>
        <w:t xml:space="preserve">AN ACT </w:t>
      </w:r>
      <w:r w:rsidR="005C244F" w:rsidRPr="001345D9">
        <w:rPr>
          <w:rFonts w:ascii="Times New Roman" w:hAnsi="Times New Roman" w:cs="Times New Roman"/>
          <w:b/>
        </w:rPr>
        <w:t>relating</w:t>
      </w:r>
      <w:r w:rsidRPr="001345D9">
        <w:rPr>
          <w:rFonts w:ascii="Times New Roman" w:hAnsi="Times New Roman" w:cs="Times New Roman"/>
          <w:b/>
        </w:rPr>
        <w:t xml:space="preserve"> to expanding criminal penalties for assault;</w:t>
      </w:r>
      <w:r w:rsidRPr="001345D9">
        <w:rPr>
          <w:rFonts w:ascii="Times New Roman" w:hAnsi="Times New Roman" w:cs="Times New Roman"/>
          <w:b/>
        </w:rPr>
        <w:br/>
        <w:t>amending RCW 9A.36.011, 9A.36.021, and 70.24.140; and prescribing penalties.</w:t>
      </w:r>
    </w:p>
    <w:p w14:paraId="615CAFAB" w14:textId="77777777" w:rsidR="00DE072C" w:rsidRPr="001345D9" w:rsidRDefault="00DE072C" w:rsidP="00DE072C">
      <w:pPr>
        <w:ind w:left="720"/>
        <w:rPr>
          <w:rFonts w:ascii="Times New Roman" w:hAnsi="Times New Roman" w:cs="Times New Roman"/>
        </w:rPr>
      </w:pPr>
    </w:p>
    <w:p w14:paraId="3BCC0E4F" w14:textId="2A2798C3" w:rsidR="00DE072C" w:rsidRPr="001345D9" w:rsidRDefault="00DE072C" w:rsidP="00DE072C">
      <w:pPr>
        <w:rPr>
          <w:rFonts w:ascii="Times New Roman" w:hAnsi="Times New Roman" w:cs="Times New Roman"/>
        </w:rPr>
      </w:pPr>
      <w:r w:rsidRPr="001345D9">
        <w:rPr>
          <w:rFonts w:ascii="Times New Roman" w:hAnsi="Times New Roman" w:cs="Times New Roman"/>
        </w:rPr>
        <w:t>Dear Chair:</w:t>
      </w:r>
    </w:p>
    <w:p w14:paraId="1E4DC8B7" w14:textId="77777777" w:rsidR="00DE072C" w:rsidRPr="001345D9" w:rsidRDefault="00DE072C" w:rsidP="00DE072C">
      <w:pPr>
        <w:rPr>
          <w:rFonts w:ascii="Times New Roman" w:hAnsi="Times New Roman" w:cs="Times New Roman"/>
        </w:rPr>
      </w:pPr>
    </w:p>
    <w:p w14:paraId="2919CA0E" w14:textId="77777777" w:rsidR="00DE072C" w:rsidRPr="001345D9" w:rsidRDefault="00DE072C" w:rsidP="00DE072C">
      <w:pPr>
        <w:rPr>
          <w:rFonts w:ascii="Times New Roman" w:hAnsi="Times New Roman" w:cs="Times New Roman"/>
          <w:b/>
        </w:rPr>
      </w:pPr>
      <w:r w:rsidRPr="001345D9">
        <w:rPr>
          <w:rStyle w:val="Strong"/>
          <w:rFonts w:ascii="Times New Roman" w:eastAsia="Times New Roman" w:hAnsi="Times New Roman" w:cs="Times New Roman"/>
          <w:b w:val="0"/>
        </w:rPr>
        <w:t>The Center for HIV Law and Policy is a national legal and policy resource and strategy center for people with HIV and their advocates. CHLP works to reduce the impact of HIV on vulnerable and marginalized communities and to secure the human rights of people affected by HIV.</w:t>
      </w:r>
    </w:p>
    <w:p w14:paraId="5D69500E" w14:textId="77777777" w:rsidR="00DE072C" w:rsidRPr="001345D9" w:rsidRDefault="00DE072C" w:rsidP="00DE072C">
      <w:pPr>
        <w:rPr>
          <w:rFonts w:ascii="Times New Roman" w:hAnsi="Times New Roman" w:cs="Times New Roman"/>
        </w:rPr>
      </w:pPr>
    </w:p>
    <w:p w14:paraId="2C31022D" w14:textId="580D14F6" w:rsidR="00DE072C" w:rsidRPr="001345D9" w:rsidRDefault="009A72DE" w:rsidP="00DE072C">
      <w:pPr>
        <w:rPr>
          <w:rFonts w:ascii="Times New Roman" w:hAnsi="Times New Roman" w:cs="Times New Roman"/>
        </w:rPr>
      </w:pPr>
      <w:r w:rsidRPr="001345D9">
        <w:rPr>
          <w:rFonts w:ascii="Times New Roman" w:hAnsi="Times New Roman" w:cs="Times New Roman"/>
        </w:rPr>
        <w:t>The</w:t>
      </w:r>
      <w:r w:rsidR="00DE072C" w:rsidRPr="001345D9">
        <w:rPr>
          <w:rFonts w:ascii="Times New Roman" w:hAnsi="Times New Roman" w:cs="Times New Roman"/>
        </w:rPr>
        <w:t xml:space="preserve"> Positive Justice Project, </w:t>
      </w:r>
      <w:r w:rsidR="001345D9" w:rsidRPr="001345D9">
        <w:rPr>
          <w:rFonts w:ascii="Times New Roman" w:hAnsi="Times New Roman" w:cs="Times New Roman"/>
        </w:rPr>
        <w:t>which</w:t>
      </w:r>
      <w:r w:rsidRPr="001345D9">
        <w:rPr>
          <w:rFonts w:ascii="Times New Roman" w:hAnsi="Times New Roman" w:cs="Times New Roman"/>
        </w:rPr>
        <w:t xml:space="preserve"> </w:t>
      </w:r>
      <w:r w:rsidR="00DE072C" w:rsidRPr="001345D9">
        <w:rPr>
          <w:rFonts w:ascii="Times New Roman" w:hAnsi="Times New Roman" w:cs="Times New Roman"/>
        </w:rPr>
        <w:t xml:space="preserve">CHLP </w:t>
      </w:r>
      <w:r w:rsidRPr="001345D9">
        <w:rPr>
          <w:rFonts w:ascii="Times New Roman" w:hAnsi="Times New Roman" w:cs="Times New Roman"/>
        </w:rPr>
        <w:t xml:space="preserve">coordinates, </w:t>
      </w:r>
      <w:r w:rsidR="00DE072C" w:rsidRPr="001345D9">
        <w:rPr>
          <w:rFonts w:ascii="Times New Roman" w:hAnsi="Times New Roman" w:cs="Times New Roman"/>
        </w:rPr>
        <w:t>seeks to assist State Legislatures and other decision makers in improving existing statutes to reflect the current understanding of HIV.</w:t>
      </w:r>
      <w:r w:rsidRPr="001345D9">
        <w:rPr>
          <w:rFonts w:ascii="Times New Roman" w:hAnsi="Times New Roman" w:cs="Times New Roman"/>
        </w:rPr>
        <w:t xml:space="preserve">  PJP members include hundreds of individuals and organizations, including the National Alliance of State and Territorial AIDS Directors, the HIV Medicine Association, the National Organization of Black Law Enforcement Executives, the Association of Nurses in AIDS Care, and many people living with HIV as well as legal, social science, health and other professionals. </w:t>
      </w:r>
    </w:p>
    <w:p w14:paraId="61C75046" w14:textId="77777777" w:rsidR="00DE072C" w:rsidRPr="001345D9" w:rsidRDefault="00DE072C" w:rsidP="00DE072C">
      <w:pPr>
        <w:rPr>
          <w:rFonts w:ascii="Times New Roman" w:hAnsi="Times New Roman" w:cs="Times New Roman"/>
        </w:rPr>
      </w:pPr>
    </w:p>
    <w:p w14:paraId="01E393CA" w14:textId="4CD6C70C" w:rsidR="008058CC" w:rsidRDefault="009A72DE" w:rsidP="00DE072C">
      <w:pPr>
        <w:rPr>
          <w:rFonts w:ascii="Times New Roman" w:hAnsi="Times New Roman" w:cs="Times New Roman"/>
        </w:rPr>
      </w:pPr>
      <w:r w:rsidRPr="001345D9">
        <w:rPr>
          <w:rFonts w:ascii="Times New Roman" w:hAnsi="Times New Roman" w:cs="Times New Roman"/>
        </w:rPr>
        <w:t xml:space="preserve">We applaud the inclination to eliminate HIV-specific criminal laws and prosecution policies. </w:t>
      </w:r>
      <w:r w:rsidR="008058CC">
        <w:rPr>
          <w:rFonts w:ascii="Times New Roman" w:hAnsi="Times New Roman" w:cs="Times New Roman"/>
        </w:rPr>
        <w:t xml:space="preserve"> The intent stated in Section 1, “to reduce the stigma that …disparate treatment brings upon those infected with the human immunodeficiency virus,” reflects a worthy, and urgent, goal.</w:t>
      </w:r>
    </w:p>
    <w:p w14:paraId="050EE0C6" w14:textId="77777777" w:rsidR="008058CC" w:rsidRDefault="008058CC" w:rsidP="00DE072C">
      <w:pPr>
        <w:rPr>
          <w:rFonts w:ascii="Times New Roman" w:hAnsi="Times New Roman" w:cs="Times New Roman"/>
        </w:rPr>
      </w:pPr>
    </w:p>
    <w:p w14:paraId="1C00307E" w14:textId="77777777" w:rsidR="00941B79" w:rsidRPr="001345D9" w:rsidRDefault="009A72DE" w:rsidP="00941B79">
      <w:pPr>
        <w:rPr>
          <w:rFonts w:ascii="Times New Roman" w:hAnsi="Times New Roman" w:cs="Times New Roman"/>
        </w:rPr>
      </w:pPr>
      <w:r w:rsidRPr="001345D9">
        <w:rPr>
          <w:rFonts w:ascii="Times New Roman" w:hAnsi="Times New Roman" w:cs="Times New Roman"/>
        </w:rPr>
        <w:t xml:space="preserve">However, the problem is not just limited to the focus on HIV in these laws, but </w:t>
      </w:r>
      <w:r w:rsidR="008058CC">
        <w:rPr>
          <w:rFonts w:ascii="Times New Roman" w:hAnsi="Times New Roman" w:cs="Times New Roman"/>
        </w:rPr>
        <w:t xml:space="preserve">also </w:t>
      </w:r>
      <w:r w:rsidRPr="001345D9">
        <w:rPr>
          <w:rFonts w:ascii="Times New Roman" w:hAnsi="Times New Roman" w:cs="Times New Roman"/>
        </w:rPr>
        <w:t xml:space="preserve">the reliance on </w:t>
      </w:r>
      <w:r w:rsidR="001345D9" w:rsidRPr="001345D9">
        <w:rPr>
          <w:rFonts w:ascii="Times New Roman" w:hAnsi="Times New Roman" w:cs="Times New Roman"/>
        </w:rPr>
        <w:t xml:space="preserve">a </w:t>
      </w:r>
      <w:r w:rsidRPr="001345D9">
        <w:rPr>
          <w:rFonts w:ascii="Times New Roman" w:hAnsi="Times New Roman" w:cs="Times New Roman"/>
        </w:rPr>
        <w:t>1980’s-era understanding of the actual routes, risks and c</w:t>
      </w:r>
      <w:r w:rsidR="008058CC">
        <w:rPr>
          <w:rFonts w:ascii="Times New Roman" w:hAnsi="Times New Roman" w:cs="Times New Roman"/>
        </w:rPr>
        <w:t xml:space="preserve">onsequences of HIV transmission.  The </w:t>
      </w:r>
      <w:r w:rsidR="00FE15AC">
        <w:rPr>
          <w:rFonts w:ascii="Times New Roman" w:hAnsi="Times New Roman" w:cs="Times New Roman"/>
        </w:rPr>
        <w:t xml:space="preserve">bill, by failing to address it, reinforces the broad </w:t>
      </w:r>
      <w:r w:rsidRPr="001345D9">
        <w:rPr>
          <w:rFonts w:ascii="Times New Roman" w:hAnsi="Times New Roman" w:cs="Times New Roman"/>
        </w:rPr>
        <w:t xml:space="preserve">misunderstanding of what actually constitutes “exposure” in the context of HIV and other </w:t>
      </w:r>
      <w:r w:rsidRPr="001345D9">
        <w:rPr>
          <w:rFonts w:ascii="Times New Roman" w:hAnsi="Times New Roman" w:cs="Times New Roman"/>
        </w:rPr>
        <w:lastRenderedPageBreak/>
        <w:t>STIs</w:t>
      </w:r>
      <w:r w:rsidR="00FE15AC">
        <w:rPr>
          <w:rFonts w:ascii="Times New Roman" w:hAnsi="Times New Roman" w:cs="Times New Roman"/>
        </w:rPr>
        <w:t>. The</w:t>
      </w:r>
      <w:r w:rsidRPr="001345D9">
        <w:rPr>
          <w:rFonts w:ascii="Times New Roman" w:hAnsi="Times New Roman" w:cs="Times New Roman"/>
        </w:rPr>
        <w:t xml:space="preserve"> application of felony laws and severe sentences (of as much as 25 years for one charged incident– more than </w:t>
      </w:r>
      <w:r w:rsidR="00FE15AC">
        <w:rPr>
          <w:rFonts w:ascii="Times New Roman" w:hAnsi="Times New Roman" w:cs="Times New Roman"/>
        </w:rPr>
        <w:t xml:space="preserve">what is meted out to </w:t>
      </w:r>
      <w:r w:rsidRPr="001345D9">
        <w:rPr>
          <w:rFonts w:ascii="Times New Roman" w:hAnsi="Times New Roman" w:cs="Times New Roman"/>
        </w:rPr>
        <w:t>some charged with rape and manslaughter) to what typically is no-risk cond</w:t>
      </w:r>
      <w:r w:rsidR="005C244F" w:rsidRPr="001345D9">
        <w:rPr>
          <w:rFonts w:ascii="Times New Roman" w:hAnsi="Times New Roman" w:cs="Times New Roman"/>
        </w:rPr>
        <w:t>uct (spitting, biting), negligible</w:t>
      </w:r>
      <w:r w:rsidRPr="001345D9">
        <w:rPr>
          <w:rFonts w:ascii="Times New Roman" w:hAnsi="Times New Roman" w:cs="Times New Roman"/>
        </w:rPr>
        <w:t xml:space="preserve"> to no-risk conduct (oral sex) and </w:t>
      </w:r>
      <w:r w:rsidR="0007711B" w:rsidRPr="001345D9">
        <w:rPr>
          <w:rFonts w:ascii="Times New Roman" w:hAnsi="Times New Roman" w:cs="Times New Roman"/>
        </w:rPr>
        <w:t>in almost all cases, consensual sex between adults</w:t>
      </w:r>
      <w:r w:rsidR="00830F61">
        <w:rPr>
          <w:rFonts w:ascii="Times New Roman" w:hAnsi="Times New Roman" w:cs="Times New Roman"/>
        </w:rPr>
        <w:t>,</w:t>
      </w:r>
      <w:r w:rsidR="00FE15AC">
        <w:rPr>
          <w:rFonts w:ascii="Times New Roman" w:hAnsi="Times New Roman" w:cs="Times New Roman"/>
        </w:rPr>
        <w:t xml:space="preserve"> has produced terrible injustices that the bill effectively re-ratifies</w:t>
      </w:r>
      <w:r w:rsidR="00830F61">
        <w:rPr>
          <w:rFonts w:ascii="Times New Roman" w:hAnsi="Times New Roman" w:cs="Times New Roman"/>
        </w:rPr>
        <w:t>.</w:t>
      </w:r>
      <w:r w:rsidR="00941B79">
        <w:rPr>
          <w:rFonts w:ascii="Times New Roman" w:hAnsi="Times New Roman" w:cs="Times New Roman"/>
        </w:rPr>
        <w:t xml:space="preserve"> Extending this injustice to others with different diseases does not address the HIV stigma problem.</w:t>
      </w:r>
    </w:p>
    <w:p w14:paraId="7BFA3BF8" w14:textId="77777777" w:rsidR="0007711B" w:rsidRPr="001345D9" w:rsidRDefault="0007711B" w:rsidP="0078364D">
      <w:pPr>
        <w:jc w:val="center"/>
        <w:rPr>
          <w:rFonts w:ascii="Times New Roman" w:hAnsi="Times New Roman" w:cs="Times New Roman"/>
        </w:rPr>
      </w:pPr>
    </w:p>
    <w:p w14:paraId="3DFDFE2D" w14:textId="41F16408" w:rsidR="001345D9" w:rsidRPr="001345D9" w:rsidRDefault="0007711B" w:rsidP="00DE072C">
      <w:pPr>
        <w:rPr>
          <w:rFonts w:ascii="Times New Roman" w:hAnsi="Times New Roman" w:cs="Times New Roman"/>
        </w:rPr>
      </w:pPr>
      <w:r w:rsidRPr="001345D9">
        <w:rPr>
          <w:rFonts w:ascii="Times New Roman" w:hAnsi="Times New Roman" w:cs="Times New Roman"/>
        </w:rPr>
        <w:t>In short, the stigma of the current law is not just perpetrat</w:t>
      </w:r>
      <w:r w:rsidR="001345D9" w:rsidRPr="001345D9">
        <w:rPr>
          <w:rFonts w:ascii="Times New Roman" w:hAnsi="Times New Roman" w:cs="Times New Roman"/>
        </w:rPr>
        <w:t>ed by specific reference to HIV;</w:t>
      </w:r>
      <w:r w:rsidRPr="001345D9">
        <w:rPr>
          <w:rFonts w:ascii="Times New Roman" w:hAnsi="Times New Roman" w:cs="Times New Roman"/>
        </w:rPr>
        <w:t xml:space="preserve"> it is perpetuated in the treatment of an HIV diagnosis as evidence of intent to harm; and in the treatment of consensual sex while HIV/STI-positive as equivalent to assaultin</w:t>
      </w:r>
      <w:r w:rsidR="00830F61">
        <w:rPr>
          <w:rFonts w:ascii="Times New Roman" w:hAnsi="Times New Roman" w:cs="Times New Roman"/>
        </w:rPr>
        <w:t>g someone with a gun or knife.</w:t>
      </w:r>
    </w:p>
    <w:p w14:paraId="09B24BC6" w14:textId="77777777" w:rsidR="001345D9" w:rsidRPr="001345D9" w:rsidRDefault="001345D9" w:rsidP="00DE072C">
      <w:pPr>
        <w:rPr>
          <w:rFonts w:ascii="Times New Roman" w:hAnsi="Times New Roman" w:cs="Times New Roman"/>
        </w:rPr>
      </w:pPr>
    </w:p>
    <w:p w14:paraId="365F835E" w14:textId="540CCA1B" w:rsidR="00DE072C" w:rsidRPr="001345D9" w:rsidRDefault="0007711B" w:rsidP="00DE072C">
      <w:pPr>
        <w:rPr>
          <w:rFonts w:ascii="Times New Roman" w:hAnsi="Times New Roman" w:cs="Times New Roman"/>
        </w:rPr>
      </w:pPr>
      <w:r w:rsidRPr="001345D9">
        <w:rPr>
          <w:rFonts w:ascii="Times New Roman" w:hAnsi="Times New Roman" w:cs="Times New Roman"/>
        </w:rPr>
        <w:t xml:space="preserve">HIV is serious, but it is, in 2013, a chronic, manageable disease.  </w:t>
      </w:r>
      <w:r w:rsidR="00B84F6C" w:rsidRPr="001345D9">
        <w:rPr>
          <w:rFonts w:ascii="Times New Roman" w:hAnsi="Times New Roman" w:cs="Times New Roman"/>
        </w:rPr>
        <w:t xml:space="preserve">It is not the equivalent of carrying an unlicensed, loaded gun, nor is consensual sex while HIV positive the equivalent of stabbing someone with the intent of causing them severe harm.  These false equivalencies in the current law, and HB 1261, are very harmful not just to people living with HIV, but to their health care providers and prevention specialists dedicated to controlling the HIV epidemic through increased diagnosis and </w:t>
      </w:r>
      <w:r w:rsidR="001F396A" w:rsidRPr="001345D9">
        <w:rPr>
          <w:rFonts w:ascii="Times New Roman" w:hAnsi="Times New Roman" w:cs="Times New Roman"/>
        </w:rPr>
        <w:t xml:space="preserve">linkage to care.  </w:t>
      </w:r>
    </w:p>
    <w:p w14:paraId="093F833F" w14:textId="77777777" w:rsidR="00DE072C" w:rsidRPr="001345D9" w:rsidRDefault="00DE072C" w:rsidP="00DE072C">
      <w:pPr>
        <w:rPr>
          <w:rFonts w:ascii="Times New Roman" w:hAnsi="Times New Roman" w:cs="Times New Roman"/>
        </w:rPr>
      </w:pPr>
    </w:p>
    <w:p w14:paraId="649AB00C" w14:textId="08AE7E9D" w:rsidR="00DE072C" w:rsidRPr="001345D9" w:rsidRDefault="00B84F6C" w:rsidP="00DE072C">
      <w:pPr>
        <w:rPr>
          <w:rFonts w:ascii="Times New Roman" w:hAnsi="Times New Roman" w:cs="Times New Roman"/>
        </w:rPr>
      </w:pPr>
      <w:r w:rsidRPr="001345D9">
        <w:rPr>
          <w:rFonts w:ascii="Times New Roman" w:hAnsi="Times New Roman" w:cs="Times New Roman"/>
        </w:rPr>
        <w:t xml:space="preserve">HB 1261 </w:t>
      </w:r>
      <w:r w:rsidR="001F396A" w:rsidRPr="001345D9">
        <w:rPr>
          <w:rFonts w:ascii="Times New Roman" w:hAnsi="Times New Roman" w:cs="Times New Roman"/>
        </w:rPr>
        <w:t xml:space="preserve">largely reinforces, rather than </w:t>
      </w:r>
      <w:r w:rsidRPr="001345D9">
        <w:rPr>
          <w:rFonts w:ascii="Times New Roman" w:hAnsi="Times New Roman" w:cs="Times New Roman"/>
        </w:rPr>
        <w:t>address</w:t>
      </w:r>
      <w:r w:rsidR="001F396A" w:rsidRPr="001345D9">
        <w:rPr>
          <w:rFonts w:ascii="Times New Roman" w:hAnsi="Times New Roman" w:cs="Times New Roman"/>
        </w:rPr>
        <w:t>es,</w:t>
      </w:r>
      <w:r w:rsidRPr="001345D9">
        <w:rPr>
          <w:rFonts w:ascii="Times New Roman" w:hAnsi="Times New Roman" w:cs="Times New Roman"/>
        </w:rPr>
        <w:t xml:space="preserve"> any of these very real harms.  We believe that the decision to introduce and advance HB 1261 is </w:t>
      </w:r>
      <w:r w:rsidR="005C244F" w:rsidRPr="001345D9">
        <w:rPr>
          <w:rFonts w:ascii="Times New Roman" w:hAnsi="Times New Roman" w:cs="Times New Roman"/>
        </w:rPr>
        <w:t>well intended</w:t>
      </w:r>
      <w:r w:rsidRPr="001345D9">
        <w:rPr>
          <w:rFonts w:ascii="Times New Roman" w:hAnsi="Times New Roman" w:cs="Times New Roman"/>
        </w:rPr>
        <w:t xml:space="preserve">, but has multiple serious, unintended consequences.  </w:t>
      </w:r>
    </w:p>
    <w:p w14:paraId="1D60A3FD" w14:textId="77777777" w:rsidR="00DE072C" w:rsidRPr="001345D9" w:rsidRDefault="00DE072C" w:rsidP="00DE072C">
      <w:pPr>
        <w:rPr>
          <w:rFonts w:ascii="Times New Roman" w:hAnsi="Times New Roman" w:cs="Times New Roman"/>
        </w:rPr>
      </w:pPr>
    </w:p>
    <w:p w14:paraId="1F7FDC68" w14:textId="563A0FAC" w:rsidR="00A43F64" w:rsidRPr="001345D9" w:rsidRDefault="00B84F6C" w:rsidP="00665265">
      <w:pPr>
        <w:rPr>
          <w:rFonts w:ascii="Times New Roman" w:hAnsi="Times New Roman" w:cs="Times New Roman"/>
        </w:rPr>
      </w:pPr>
      <w:r w:rsidRPr="001345D9">
        <w:rPr>
          <w:rFonts w:ascii="Times New Roman" w:hAnsi="Times New Roman" w:cs="Times New Roman"/>
        </w:rPr>
        <w:t>The following are some specific problems with the current bill:</w:t>
      </w:r>
      <w:r w:rsidR="00DE072C" w:rsidRPr="001345D9">
        <w:rPr>
          <w:rFonts w:ascii="Times New Roman" w:hAnsi="Times New Roman" w:cs="Times New Roman"/>
        </w:rPr>
        <w:t xml:space="preserve"> </w:t>
      </w:r>
    </w:p>
    <w:p w14:paraId="07373DCD" w14:textId="77777777" w:rsidR="00A43F64" w:rsidRPr="001345D9" w:rsidRDefault="00A43F64" w:rsidP="00665265">
      <w:pPr>
        <w:rPr>
          <w:rFonts w:ascii="Times New Roman" w:hAnsi="Times New Roman" w:cs="Times New Roman"/>
        </w:rPr>
      </w:pPr>
    </w:p>
    <w:p w14:paraId="5679F63E" w14:textId="174C15B7" w:rsidR="001F396A" w:rsidRPr="001345D9" w:rsidRDefault="00B844BF" w:rsidP="001F396A">
      <w:pPr>
        <w:pStyle w:val="ListParagraph"/>
        <w:numPr>
          <w:ilvl w:val="0"/>
          <w:numId w:val="1"/>
        </w:numPr>
        <w:rPr>
          <w:rFonts w:ascii="Times New Roman" w:hAnsi="Times New Roman" w:cs="Times New Roman"/>
        </w:rPr>
      </w:pPr>
      <w:r w:rsidRPr="001345D9">
        <w:rPr>
          <w:rFonts w:ascii="Times New Roman" w:hAnsi="Times New Roman" w:cs="Times New Roman"/>
        </w:rPr>
        <w:t xml:space="preserve">Specifically, </w:t>
      </w:r>
      <w:r w:rsidR="00DE072C" w:rsidRPr="001345D9">
        <w:rPr>
          <w:rFonts w:ascii="Times New Roman" w:hAnsi="Times New Roman" w:cs="Times New Roman"/>
        </w:rPr>
        <w:t>Sec</w:t>
      </w:r>
      <w:r w:rsidR="001F396A" w:rsidRPr="001345D9">
        <w:rPr>
          <w:rFonts w:ascii="Times New Roman" w:hAnsi="Times New Roman" w:cs="Times New Roman"/>
        </w:rPr>
        <w:t>tion</w:t>
      </w:r>
      <w:r w:rsidR="00DE072C" w:rsidRPr="001345D9">
        <w:rPr>
          <w:rFonts w:ascii="Times New Roman" w:hAnsi="Times New Roman" w:cs="Times New Roman"/>
        </w:rPr>
        <w:t xml:space="preserve"> 1 </w:t>
      </w:r>
      <w:r w:rsidR="005C244F" w:rsidRPr="001345D9">
        <w:rPr>
          <w:rFonts w:ascii="Times New Roman" w:hAnsi="Times New Roman" w:cs="Times New Roman"/>
        </w:rPr>
        <w:t>states,</w:t>
      </w:r>
      <w:r w:rsidR="00B84F6C" w:rsidRPr="001345D9">
        <w:rPr>
          <w:rFonts w:ascii="Times New Roman" w:hAnsi="Times New Roman" w:cs="Times New Roman"/>
        </w:rPr>
        <w:t xml:space="preserve"> “The legislature does not</w:t>
      </w:r>
      <w:r w:rsidR="001F396A" w:rsidRPr="001345D9">
        <w:rPr>
          <w:rFonts w:ascii="Times New Roman" w:hAnsi="Times New Roman" w:cs="Times New Roman"/>
        </w:rPr>
        <w:t xml:space="preserve"> intend to prevent the [HIV] vir</w:t>
      </w:r>
      <w:r w:rsidR="00B84F6C" w:rsidRPr="001345D9">
        <w:rPr>
          <w:rFonts w:ascii="Times New Roman" w:hAnsi="Times New Roman" w:cs="Times New Roman"/>
        </w:rPr>
        <w:t xml:space="preserve">us from being treated as any other destructive or noxious substance.”  The continued characterization of HIV (or herpes, HPV, or other STIs, for that matter) as a </w:t>
      </w:r>
      <w:r w:rsidR="001F396A" w:rsidRPr="001345D9">
        <w:rPr>
          <w:rFonts w:ascii="Times New Roman" w:hAnsi="Times New Roman" w:cs="Times New Roman"/>
        </w:rPr>
        <w:t>“</w:t>
      </w:r>
      <w:r w:rsidR="00B84F6C" w:rsidRPr="001345D9">
        <w:rPr>
          <w:rFonts w:ascii="Times New Roman" w:hAnsi="Times New Roman" w:cs="Times New Roman"/>
        </w:rPr>
        <w:t>noxious substance</w:t>
      </w:r>
      <w:r w:rsidR="001F396A" w:rsidRPr="001345D9">
        <w:rPr>
          <w:rFonts w:ascii="Times New Roman" w:hAnsi="Times New Roman" w:cs="Times New Roman"/>
        </w:rPr>
        <w:t>”</w:t>
      </w:r>
      <w:r w:rsidR="00B84F6C" w:rsidRPr="001345D9">
        <w:rPr>
          <w:rFonts w:ascii="Times New Roman" w:hAnsi="Times New Roman" w:cs="Times New Roman"/>
        </w:rPr>
        <w:t xml:space="preserve"> reinforces the 1980’s perception of </w:t>
      </w:r>
      <w:r w:rsidR="001F396A" w:rsidRPr="001345D9">
        <w:rPr>
          <w:rFonts w:ascii="Times New Roman" w:hAnsi="Times New Roman" w:cs="Times New Roman"/>
        </w:rPr>
        <w:t>people with HIV as innately dangerous.</w:t>
      </w:r>
    </w:p>
    <w:p w14:paraId="0A02DC98" w14:textId="77777777" w:rsidR="001345D9" w:rsidRPr="001345D9" w:rsidRDefault="001345D9" w:rsidP="001345D9">
      <w:pPr>
        <w:pStyle w:val="ListParagraph"/>
        <w:rPr>
          <w:rFonts w:ascii="Times New Roman" w:hAnsi="Times New Roman" w:cs="Times New Roman"/>
        </w:rPr>
      </w:pPr>
    </w:p>
    <w:p w14:paraId="120CA839" w14:textId="18D17F5C" w:rsidR="006C1038" w:rsidRPr="001345D9" w:rsidRDefault="006C1038" w:rsidP="00665265">
      <w:pPr>
        <w:pStyle w:val="ListParagraph"/>
        <w:numPr>
          <w:ilvl w:val="0"/>
          <w:numId w:val="1"/>
        </w:numPr>
        <w:rPr>
          <w:rFonts w:ascii="Times New Roman" w:hAnsi="Times New Roman" w:cs="Times New Roman"/>
        </w:rPr>
      </w:pPr>
      <w:r w:rsidRPr="001345D9">
        <w:rPr>
          <w:rFonts w:ascii="Times New Roman" w:hAnsi="Times New Roman" w:cs="Times New Roman"/>
        </w:rPr>
        <w:t>Treating infection with HIV or another STI under RCW9A.36.011 as a Class A felony amounts to punishment that is grossly disproportionate to the harm, even in the case of actual transmission. To reduce the risk (and current reality) that people with HIV are unjustly treated, at the very least there must be more guidance on “intent” under the statute.</w:t>
      </w:r>
    </w:p>
    <w:p w14:paraId="2AD57169" w14:textId="77777777" w:rsidR="001345D9" w:rsidRPr="001345D9" w:rsidRDefault="001345D9" w:rsidP="001345D9">
      <w:pPr>
        <w:rPr>
          <w:rFonts w:ascii="Times New Roman" w:hAnsi="Times New Roman" w:cs="Times New Roman"/>
        </w:rPr>
      </w:pPr>
    </w:p>
    <w:p w14:paraId="66609232" w14:textId="5C532140" w:rsidR="001F396A" w:rsidRPr="001345D9" w:rsidRDefault="001F396A" w:rsidP="00665265">
      <w:pPr>
        <w:pStyle w:val="ListParagraph"/>
        <w:numPr>
          <w:ilvl w:val="0"/>
          <w:numId w:val="1"/>
        </w:numPr>
        <w:rPr>
          <w:rFonts w:ascii="Times New Roman" w:hAnsi="Times New Roman" w:cs="Times New Roman"/>
        </w:rPr>
      </w:pPr>
      <w:r w:rsidRPr="001345D9">
        <w:rPr>
          <w:rFonts w:ascii="Times New Roman" w:hAnsi="Times New Roman" w:cs="Times New Roman"/>
        </w:rPr>
        <w:t>Section 2 (1) fails to define “intent to inflict great bodily harm” or what constitutes evidence of that intent.  We would proposed the following as possible way to clarify that</w:t>
      </w:r>
      <w:r w:rsidR="00747CB2" w:rsidRPr="001345D9">
        <w:rPr>
          <w:rFonts w:ascii="Times New Roman" w:hAnsi="Times New Roman" w:cs="Times New Roman"/>
        </w:rPr>
        <w:t xml:space="preserve"> and similar problems in Sec. 3</w:t>
      </w:r>
      <w:r w:rsidRPr="001345D9">
        <w:rPr>
          <w:rFonts w:ascii="Times New Roman" w:hAnsi="Times New Roman" w:cs="Times New Roman"/>
        </w:rPr>
        <w:t>:</w:t>
      </w:r>
    </w:p>
    <w:p w14:paraId="6522B861" w14:textId="1E7D7E67" w:rsidR="006C1038" w:rsidRPr="001345D9" w:rsidRDefault="001F396A" w:rsidP="006C1038">
      <w:pPr>
        <w:pStyle w:val="ListParagraph"/>
        <w:widowControl w:val="0"/>
        <w:numPr>
          <w:ilvl w:val="0"/>
          <w:numId w:val="2"/>
        </w:numPr>
        <w:suppressAutoHyphens/>
        <w:rPr>
          <w:rFonts w:ascii="Times New Roman" w:hAnsi="Times New Roman" w:cs="Times New Roman"/>
        </w:rPr>
      </w:pPr>
      <w:r w:rsidRPr="001345D9">
        <w:rPr>
          <w:rFonts w:ascii="Times New Roman" w:hAnsi="Times New Roman" w:cs="Times New Roman"/>
        </w:rPr>
        <w:t>“</w:t>
      </w:r>
      <w:r w:rsidR="006C1038" w:rsidRPr="001345D9">
        <w:rPr>
          <w:rFonts w:ascii="Times New Roman" w:hAnsi="Times New Roman" w:cs="Times New Roman"/>
        </w:rPr>
        <w:t xml:space="preserve">A person who knows he/she is infected with a contagious or infectious disease and acts with the intent to transmit the disease to another person in a manner that poses a substantial, unjustifiable risk of transmission which results in the actual infection of that person commits a violation of this act.” </w:t>
      </w:r>
    </w:p>
    <w:p w14:paraId="000854B5" w14:textId="77777777" w:rsidR="006C1038" w:rsidRPr="001345D9" w:rsidRDefault="006C1038" w:rsidP="006C1038">
      <w:pPr>
        <w:pStyle w:val="ListParagraph"/>
        <w:widowControl w:val="0"/>
        <w:numPr>
          <w:ilvl w:val="0"/>
          <w:numId w:val="2"/>
        </w:numPr>
        <w:suppressAutoHyphens/>
        <w:rPr>
          <w:rFonts w:ascii="Times New Roman" w:hAnsi="Times New Roman" w:cs="Times New Roman"/>
        </w:rPr>
      </w:pPr>
      <w:r w:rsidRPr="001345D9">
        <w:rPr>
          <w:rFonts w:ascii="Times New Roman" w:hAnsi="Times New Roman" w:cs="Times New Roman"/>
        </w:rPr>
        <w:t>A person who knows he/she is infected with a contagious or infectious disease does not act with the intent to transmit a disease or pose a substantial risk of transmission if the person undertook or attempted to undertake practical means to prevent transmission.</w:t>
      </w:r>
    </w:p>
    <w:p w14:paraId="52E018FD" w14:textId="77777777" w:rsidR="006C1038" w:rsidRPr="001345D9" w:rsidRDefault="006C1038" w:rsidP="006C1038">
      <w:pPr>
        <w:pStyle w:val="ListParagraph"/>
        <w:widowControl w:val="0"/>
        <w:numPr>
          <w:ilvl w:val="1"/>
          <w:numId w:val="2"/>
        </w:numPr>
        <w:suppressAutoHyphens/>
        <w:ind w:left="1440"/>
        <w:rPr>
          <w:rFonts w:ascii="Times New Roman" w:hAnsi="Times New Roman" w:cs="Times New Roman"/>
        </w:rPr>
      </w:pPr>
      <w:r w:rsidRPr="001345D9">
        <w:rPr>
          <w:rFonts w:ascii="Times New Roman" w:hAnsi="Times New Roman" w:cs="Times New Roman"/>
          <w:i/>
        </w:rPr>
        <w:t>Practical means to prevent transmission</w:t>
      </w:r>
      <w:r w:rsidRPr="001345D9">
        <w:rPr>
          <w:rFonts w:ascii="Times New Roman" w:hAnsi="Times New Roman" w:cs="Times New Roman"/>
        </w:rPr>
        <w:t xml:space="preserve"> shall mean any method, device, behavior, or activity demonstrated epidemiologically to measurably limit, reduce, or eliminate the risk of transmission of a contagious or infectious disease, and generally accepted and recommended by the medical profession for such purposes, including, but not limited to the use of a barrier protection or prophylactic device, or adherence to the medical treatment regimen prescribed by a physician for that infectious disease</w:t>
      </w:r>
    </w:p>
    <w:p w14:paraId="18691270" w14:textId="12ACD9DD" w:rsidR="00747CB2" w:rsidRPr="001345D9" w:rsidRDefault="00747CB2" w:rsidP="00747CB2">
      <w:pPr>
        <w:pStyle w:val="ListParagraph"/>
        <w:widowControl w:val="0"/>
        <w:numPr>
          <w:ilvl w:val="0"/>
          <w:numId w:val="2"/>
        </w:numPr>
        <w:suppressAutoHyphens/>
        <w:autoSpaceDE w:val="0"/>
        <w:autoSpaceDN w:val="0"/>
        <w:adjustRightInd w:val="0"/>
        <w:rPr>
          <w:rFonts w:ascii="Times New Roman" w:hAnsi="Times New Roman" w:cs="Times New Roman"/>
        </w:rPr>
      </w:pPr>
      <w:r w:rsidRPr="001345D9">
        <w:rPr>
          <w:rFonts w:ascii="Times New Roman" w:hAnsi="Times New Roman" w:cs="Times New Roman"/>
        </w:rPr>
        <w:t>Consent as defense.  (a</w:t>
      </w:r>
      <w:r w:rsidR="005C244F" w:rsidRPr="001345D9">
        <w:rPr>
          <w:rFonts w:ascii="Times New Roman" w:hAnsi="Times New Roman" w:cs="Times New Roman"/>
        </w:rPr>
        <w:t>) the</w:t>
      </w:r>
      <w:r w:rsidRPr="001345D9">
        <w:rPr>
          <w:rFonts w:ascii="Times New Roman" w:hAnsi="Times New Roman" w:cs="Times New Roman"/>
        </w:rPr>
        <w:t xml:space="preserve"> complainant's effective consent or the actor's reasonable belief that the complainant consented to the actor's conduct is a defense to prosecution under this act if:</w:t>
      </w:r>
    </w:p>
    <w:p w14:paraId="11F50292" w14:textId="47982007" w:rsidR="00747CB2" w:rsidRPr="001345D9" w:rsidRDefault="005C244F" w:rsidP="00747CB2">
      <w:pPr>
        <w:pStyle w:val="ListParagraph"/>
        <w:widowControl w:val="0"/>
        <w:numPr>
          <w:ilvl w:val="1"/>
          <w:numId w:val="2"/>
        </w:numPr>
        <w:suppressAutoHyphens/>
        <w:autoSpaceDE w:val="0"/>
        <w:autoSpaceDN w:val="0"/>
        <w:adjustRightInd w:val="0"/>
        <w:rPr>
          <w:rFonts w:ascii="Times New Roman" w:hAnsi="Times New Roman" w:cs="Times New Roman"/>
        </w:rPr>
      </w:pPr>
      <w:r w:rsidRPr="001345D9">
        <w:rPr>
          <w:rFonts w:ascii="Times New Roman" w:hAnsi="Times New Roman" w:cs="Times New Roman"/>
        </w:rPr>
        <w:t>The</w:t>
      </w:r>
      <w:r w:rsidR="00747CB2" w:rsidRPr="001345D9">
        <w:rPr>
          <w:rFonts w:ascii="Times New Roman" w:hAnsi="Times New Roman" w:cs="Times New Roman"/>
        </w:rPr>
        <w:t xml:space="preserve"> conduct did not pose a statistically significant threat of, or in fact inflict, serious bodily injury</w:t>
      </w:r>
      <w:r w:rsidRPr="001345D9">
        <w:rPr>
          <w:rFonts w:ascii="Times New Roman" w:hAnsi="Times New Roman" w:cs="Times New Roman"/>
        </w:rPr>
        <w:t>; or</w:t>
      </w:r>
    </w:p>
    <w:p w14:paraId="7F705122" w14:textId="3CF8836A" w:rsidR="00747CB2" w:rsidRPr="001345D9" w:rsidRDefault="005C244F" w:rsidP="00747CB2">
      <w:pPr>
        <w:pStyle w:val="ListParagraph"/>
        <w:widowControl w:val="0"/>
        <w:numPr>
          <w:ilvl w:val="1"/>
          <w:numId w:val="2"/>
        </w:numPr>
        <w:suppressAutoHyphens/>
        <w:autoSpaceDE w:val="0"/>
        <w:autoSpaceDN w:val="0"/>
        <w:adjustRightInd w:val="0"/>
        <w:rPr>
          <w:rFonts w:ascii="Times New Roman" w:hAnsi="Times New Roman" w:cs="Times New Roman"/>
        </w:rPr>
      </w:pPr>
      <w:r w:rsidRPr="001345D9">
        <w:rPr>
          <w:rFonts w:ascii="Times New Roman" w:hAnsi="Times New Roman" w:cs="Times New Roman"/>
        </w:rPr>
        <w:t>The</w:t>
      </w:r>
      <w:r w:rsidR="00747CB2" w:rsidRPr="001345D9">
        <w:rPr>
          <w:rFonts w:ascii="Times New Roman" w:hAnsi="Times New Roman" w:cs="Times New Roman"/>
        </w:rPr>
        <w:t xml:space="preserve"> complainant knew or reasonably should have known that the threat or occurrence of harm was a risk of his/her voluntary conduct or occupation;</w:t>
      </w:r>
    </w:p>
    <w:p w14:paraId="64183F3A" w14:textId="77777777" w:rsidR="00665265" w:rsidRPr="001345D9" w:rsidRDefault="00665265" w:rsidP="00665265">
      <w:pPr>
        <w:rPr>
          <w:rFonts w:ascii="Times New Roman" w:hAnsi="Times New Roman" w:cs="Times New Roman"/>
        </w:rPr>
      </w:pPr>
    </w:p>
    <w:p w14:paraId="113E8D15" w14:textId="29915745" w:rsidR="00665265" w:rsidRPr="001345D9" w:rsidRDefault="00A43F64" w:rsidP="00747CB2">
      <w:pPr>
        <w:pStyle w:val="ListParagraph"/>
        <w:numPr>
          <w:ilvl w:val="0"/>
          <w:numId w:val="3"/>
        </w:numPr>
        <w:rPr>
          <w:rFonts w:ascii="Times New Roman" w:hAnsi="Times New Roman" w:cs="Times New Roman"/>
        </w:rPr>
      </w:pPr>
      <w:r w:rsidRPr="001345D9">
        <w:rPr>
          <w:rFonts w:ascii="Times New Roman" w:hAnsi="Times New Roman" w:cs="Times New Roman"/>
        </w:rPr>
        <w:t xml:space="preserve">The language </w:t>
      </w:r>
      <w:r w:rsidR="00747CB2" w:rsidRPr="001345D9">
        <w:rPr>
          <w:rFonts w:ascii="Times New Roman" w:hAnsi="Times New Roman" w:cs="Times New Roman"/>
        </w:rPr>
        <w:t xml:space="preserve">of HB1262 </w:t>
      </w:r>
      <w:r w:rsidRPr="001345D9">
        <w:rPr>
          <w:rFonts w:ascii="Times New Roman" w:hAnsi="Times New Roman" w:cs="Times New Roman"/>
        </w:rPr>
        <w:t xml:space="preserve">assumes that an “administration” or an “exposure” or even a “transmission” of a destructive or noxious substance, always </w:t>
      </w:r>
      <w:r w:rsidR="00747CB2" w:rsidRPr="001345D9">
        <w:rPr>
          <w:rFonts w:ascii="Times New Roman" w:hAnsi="Times New Roman" w:cs="Times New Roman"/>
        </w:rPr>
        <w:t>reflects</w:t>
      </w:r>
      <w:r w:rsidRPr="001345D9">
        <w:rPr>
          <w:rFonts w:ascii="Times New Roman" w:hAnsi="Times New Roman" w:cs="Times New Roman"/>
        </w:rPr>
        <w:t xml:space="preserve"> the prohibited conduct</w:t>
      </w:r>
      <w:r w:rsidR="00747CB2" w:rsidRPr="001345D9">
        <w:rPr>
          <w:rFonts w:ascii="Times New Roman" w:hAnsi="Times New Roman" w:cs="Times New Roman"/>
        </w:rPr>
        <w:t xml:space="preserve"> of intent to do harm</w:t>
      </w:r>
      <w:r w:rsidRPr="001345D9">
        <w:rPr>
          <w:rFonts w:ascii="Times New Roman" w:hAnsi="Times New Roman" w:cs="Times New Roman"/>
        </w:rPr>
        <w:t xml:space="preserve">. </w:t>
      </w:r>
      <w:r w:rsidR="009B280F" w:rsidRPr="001345D9">
        <w:rPr>
          <w:rFonts w:ascii="Times New Roman" w:hAnsi="Times New Roman" w:cs="Times New Roman"/>
        </w:rPr>
        <w:t>For instance, an “exposure” of seminal fluids on the skin of an individual would, under the proposed language, be sufficient for conviction, when such conduct, even if willful, cannot possibly result in death or serious bodily harm.</w:t>
      </w:r>
    </w:p>
    <w:p w14:paraId="7C2F7787" w14:textId="77777777" w:rsidR="00747CB2" w:rsidRPr="001345D9" w:rsidRDefault="00747CB2" w:rsidP="00747CB2">
      <w:pPr>
        <w:pStyle w:val="ListParagraph"/>
        <w:rPr>
          <w:rFonts w:ascii="Times New Roman" w:hAnsi="Times New Roman" w:cs="Times New Roman"/>
        </w:rPr>
      </w:pPr>
    </w:p>
    <w:p w14:paraId="5EBBAEC7" w14:textId="0AA2FDD2" w:rsidR="00D81180" w:rsidRPr="001345D9" w:rsidRDefault="00B844BF" w:rsidP="00D81180">
      <w:pPr>
        <w:pStyle w:val="ListParagraph"/>
        <w:numPr>
          <w:ilvl w:val="0"/>
          <w:numId w:val="3"/>
        </w:numPr>
        <w:rPr>
          <w:rFonts w:ascii="Times New Roman" w:hAnsi="Times New Roman" w:cs="Times New Roman"/>
        </w:rPr>
      </w:pPr>
      <w:r w:rsidRPr="001345D9">
        <w:rPr>
          <w:rFonts w:ascii="Times New Roman" w:hAnsi="Times New Roman" w:cs="Times New Roman"/>
        </w:rPr>
        <w:t xml:space="preserve">HB </w:t>
      </w:r>
      <w:r w:rsidR="00747CB2" w:rsidRPr="001345D9">
        <w:rPr>
          <w:rFonts w:ascii="Times New Roman" w:hAnsi="Times New Roman" w:cs="Times New Roman"/>
        </w:rPr>
        <w:t>1262</w:t>
      </w:r>
      <w:r w:rsidRPr="001345D9">
        <w:rPr>
          <w:rFonts w:ascii="Times New Roman" w:hAnsi="Times New Roman" w:cs="Times New Roman"/>
        </w:rPr>
        <w:t xml:space="preserve"> also brings up the fact that in the context of sexual conduct, adult individuals could actually consent to activity proscribed therein.  Would the person “exposed” be also</w:t>
      </w:r>
      <w:r w:rsidR="00D81180" w:rsidRPr="001345D9">
        <w:rPr>
          <w:rFonts w:ascii="Times New Roman" w:hAnsi="Times New Roman" w:cs="Times New Roman"/>
        </w:rPr>
        <w:t xml:space="preserve"> charged with Complicity</w:t>
      </w:r>
      <w:r w:rsidRPr="001345D9">
        <w:rPr>
          <w:rFonts w:ascii="Times New Roman" w:hAnsi="Times New Roman" w:cs="Times New Roman"/>
        </w:rPr>
        <w:t xml:space="preserve"> to the proscribed conduct?</w:t>
      </w:r>
      <w:r w:rsidR="00D81180" w:rsidRPr="001345D9">
        <w:rPr>
          <w:rFonts w:ascii="Times New Roman" w:hAnsi="Times New Roman" w:cs="Times New Roman"/>
        </w:rPr>
        <w:t xml:space="preserve"> See </w:t>
      </w:r>
      <w:r w:rsidR="00D81180" w:rsidRPr="001345D9">
        <w:rPr>
          <w:rFonts w:ascii="Times New Roman" w:eastAsia="Times New Roman" w:hAnsi="Times New Roman" w:cs="Times New Roman"/>
        </w:rPr>
        <w:t>RCW 9A.08.020.</w:t>
      </w:r>
    </w:p>
    <w:p w14:paraId="382A1628" w14:textId="77777777" w:rsidR="00747CB2" w:rsidRPr="001345D9" w:rsidRDefault="00747CB2" w:rsidP="00747CB2">
      <w:pPr>
        <w:rPr>
          <w:rFonts w:ascii="Times New Roman" w:hAnsi="Times New Roman" w:cs="Times New Roman"/>
        </w:rPr>
      </w:pPr>
    </w:p>
    <w:p w14:paraId="440969BB" w14:textId="71EC5635" w:rsidR="00747CB2" w:rsidRPr="001345D9" w:rsidRDefault="00747CB2" w:rsidP="00D81180">
      <w:pPr>
        <w:pStyle w:val="ListParagraph"/>
        <w:numPr>
          <w:ilvl w:val="0"/>
          <w:numId w:val="3"/>
        </w:numPr>
        <w:rPr>
          <w:rFonts w:ascii="Times New Roman" w:hAnsi="Times New Roman" w:cs="Times New Roman"/>
        </w:rPr>
      </w:pPr>
      <w:r w:rsidRPr="001345D9">
        <w:rPr>
          <w:rFonts w:ascii="Times New Roman" w:hAnsi="Times New Roman" w:cs="Times New Roman"/>
        </w:rPr>
        <w:t>Section 3’s prohibition of sexual intercourse with disclosure to a partner is incapable of fair enforcement for multiple reasons:</w:t>
      </w:r>
    </w:p>
    <w:p w14:paraId="22713127" w14:textId="77777777" w:rsidR="00747CB2" w:rsidRPr="001345D9" w:rsidRDefault="00747CB2" w:rsidP="00747CB2">
      <w:pPr>
        <w:rPr>
          <w:rFonts w:ascii="Times New Roman" w:hAnsi="Times New Roman" w:cs="Times New Roman"/>
        </w:rPr>
      </w:pPr>
    </w:p>
    <w:p w14:paraId="12B41AB4" w14:textId="33D87E2B" w:rsidR="00747CB2" w:rsidRDefault="005C244F" w:rsidP="005C244F">
      <w:pPr>
        <w:pStyle w:val="ListParagraph"/>
        <w:numPr>
          <w:ilvl w:val="1"/>
          <w:numId w:val="3"/>
        </w:numPr>
        <w:rPr>
          <w:rFonts w:ascii="Times New Roman" w:hAnsi="Times New Roman" w:cs="Times New Roman"/>
        </w:rPr>
      </w:pPr>
      <w:r w:rsidRPr="001345D9">
        <w:rPr>
          <w:rFonts w:ascii="Times New Roman" w:hAnsi="Times New Roman" w:cs="Times New Roman"/>
        </w:rPr>
        <w:t>A partner who is the subject of, or at risk of, domestic violence may not have a reasonable ability to either disclose or to refuse sex.</w:t>
      </w:r>
    </w:p>
    <w:p w14:paraId="13CD5E57" w14:textId="77777777" w:rsidR="001345D9" w:rsidRPr="001345D9" w:rsidRDefault="001345D9" w:rsidP="001345D9">
      <w:pPr>
        <w:pStyle w:val="ListParagraph"/>
        <w:ind w:left="1440"/>
        <w:rPr>
          <w:rFonts w:ascii="Times New Roman" w:hAnsi="Times New Roman" w:cs="Times New Roman"/>
        </w:rPr>
      </w:pPr>
    </w:p>
    <w:p w14:paraId="136D08FF" w14:textId="102562C5" w:rsidR="005C244F" w:rsidRDefault="005C244F" w:rsidP="005C244F">
      <w:pPr>
        <w:pStyle w:val="ListParagraph"/>
        <w:numPr>
          <w:ilvl w:val="1"/>
          <w:numId w:val="3"/>
        </w:numPr>
        <w:rPr>
          <w:rFonts w:ascii="Times New Roman" w:hAnsi="Times New Roman" w:cs="Times New Roman"/>
        </w:rPr>
      </w:pPr>
      <w:r w:rsidRPr="001345D9">
        <w:rPr>
          <w:rFonts w:ascii="Times New Roman" w:hAnsi="Times New Roman" w:cs="Times New Roman"/>
        </w:rPr>
        <w:t>Individuals with HIV, or other STIs’, who are on treatment that reduces their transmission risk to zero or near-zero may in fact not pose, and almost certainly would not intend to pose, even a negligible risk of transmission.  This, and the use of other prophylaxis used to prevent transmission</w:t>
      </w:r>
      <w:r w:rsidR="001345D9">
        <w:rPr>
          <w:rFonts w:ascii="Times New Roman" w:hAnsi="Times New Roman" w:cs="Times New Roman"/>
        </w:rPr>
        <w:t>,</w:t>
      </w:r>
      <w:r w:rsidRPr="001345D9">
        <w:rPr>
          <w:rFonts w:ascii="Times New Roman" w:hAnsi="Times New Roman" w:cs="Times New Roman"/>
        </w:rPr>
        <w:t xml:space="preserve"> are not taken into account in determining criminal intent, which should be the basis of criminal liability.</w:t>
      </w:r>
      <w:r w:rsidR="001345D9">
        <w:rPr>
          <w:rFonts w:ascii="Times New Roman" w:hAnsi="Times New Roman" w:cs="Times New Roman"/>
        </w:rPr>
        <w:t xml:space="preserve">  Inclusion of the language suggested above would help to address this problem.</w:t>
      </w:r>
    </w:p>
    <w:p w14:paraId="48A8F032" w14:textId="77777777" w:rsidR="001345D9" w:rsidRPr="001345D9" w:rsidRDefault="001345D9" w:rsidP="001345D9">
      <w:pPr>
        <w:rPr>
          <w:rFonts w:ascii="Times New Roman" w:hAnsi="Times New Roman" w:cs="Times New Roman"/>
        </w:rPr>
      </w:pPr>
    </w:p>
    <w:p w14:paraId="02E9BF56" w14:textId="64975CB2" w:rsidR="001345D9" w:rsidRDefault="005C244F" w:rsidP="005C244F">
      <w:pPr>
        <w:pStyle w:val="ListParagraph"/>
        <w:numPr>
          <w:ilvl w:val="1"/>
          <w:numId w:val="3"/>
        </w:numPr>
        <w:rPr>
          <w:rFonts w:ascii="Times New Roman" w:hAnsi="Times New Roman" w:cs="Times New Roman"/>
        </w:rPr>
      </w:pPr>
      <w:r w:rsidRPr="001345D9">
        <w:rPr>
          <w:rFonts w:ascii="Times New Roman" w:hAnsi="Times New Roman" w:cs="Times New Roman"/>
        </w:rPr>
        <w:t xml:space="preserve">Many years of experience have demonstrated that this kind of disclosure law provides a vehicle for partners to use the criminal justice system to punish current or former partners whom they feel have betrayed them, particularly as disclosure is typically impossible for a defendant to prove. </w:t>
      </w:r>
      <w:r w:rsidR="001345D9">
        <w:rPr>
          <w:rFonts w:ascii="Times New Roman" w:hAnsi="Times New Roman" w:cs="Times New Roman"/>
        </w:rPr>
        <w:t>Hinging criminal liability on the ability to prove disclosure places an unus</w:t>
      </w:r>
      <w:r w:rsidR="00830F61">
        <w:rPr>
          <w:rFonts w:ascii="Times New Roman" w:hAnsi="Times New Roman" w:cs="Times New Roman"/>
        </w:rPr>
        <w:t>u</w:t>
      </w:r>
      <w:r w:rsidR="001345D9">
        <w:rPr>
          <w:rFonts w:ascii="Times New Roman" w:hAnsi="Times New Roman" w:cs="Times New Roman"/>
        </w:rPr>
        <w:t>al, and unfair, burden on the defendant in such cases.</w:t>
      </w:r>
    </w:p>
    <w:p w14:paraId="46B8D2AC" w14:textId="5C5DECAE" w:rsidR="005C244F" w:rsidRPr="001345D9" w:rsidRDefault="005C244F" w:rsidP="001345D9">
      <w:pPr>
        <w:rPr>
          <w:rFonts w:ascii="Times New Roman" w:hAnsi="Times New Roman" w:cs="Times New Roman"/>
        </w:rPr>
      </w:pPr>
      <w:r w:rsidRPr="001345D9">
        <w:rPr>
          <w:rFonts w:ascii="Times New Roman" w:hAnsi="Times New Roman" w:cs="Times New Roman"/>
        </w:rPr>
        <w:t xml:space="preserve"> </w:t>
      </w:r>
    </w:p>
    <w:p w14:paraId="69302920" w14:textId="267341F3" w:rsidR="005C244F" w:rsidRPr="001345D9" w:rsidRDefault="005C244F" w:rsidP="005C244F">
      <w:pPr>
        <w:pStyle w:val="ListParagraph"/>
        <w:numPr>
          <w:ilvl w:val="1"/>
          <w:numId w:val="3"/>
        </w:numPr>
        <w:rPr>
          <w:rFonts w:ascii="Times New Roman" w:hAnsi="Times New Roman" w:cs="Times New Roman"/>
        </w:rPr>
      </w:pPr>
      <w:r w:rsidRPr="001345D9">
        <w:rPr>
          <w:rFonts w:ascii="Times New Roman" w:hAnsi="Times New Roman" w:cs="Times New Roman"/>
        </w:rPr>
        <w:t xml:space="preserve">Federal and state HIV prevention campaigns focus on the right and ability of people living with HIV to continue to have healthy sex lives.  In fact, federal guidance about to be released by the President’s Advisory Council on HIV/AIDS recognizes that disclosure is context-driven and cannot reasonably be mandated in all cases or at any specific time.  </w:t>
      </w:r>
    </w:p>
    <w:p w14:paraId="58341B0D" w14:textId="29F011D8" w:rsidR="00B844BF" w:rsidRDefault="00B844BF" w:rsidP="00665265">
      <w:pPr>
        <w:rPr>
          <w:rFonts w:ascii="Times New Roman" w:hAnsi="Times New Roman" w:cs="Times New Roman"/>
        </w:rPr>
      </w:pPr>
    </w:p>
    <w:p w14:paraId="6A7FBA46" w14:textId="4AFBD634" w:rsidR="001345D9" w:rsidRDefault="008058CC" w:rsidP="00665265">
      <w:pPr>
        <w:rPr>
          <w:rFonts w:ascii="Times New Roman" w:hAnsi="Times New Roman" w:cs="Times New Roman"/>
        </w:rPr>
      </w:pPr>
      <w:r>
        <w:rPr>
          <w:rFonts w:ascii="Times New Roman" w:hAnsi="Times New Roman" w:cs="Times New Roman"/>
        </w:rPr>
        <w:t>The issues addressed in this bill are complex; we ask that, at the least, you postpone further action on the current bill to allow further discussion, and further input from medical providers and others who can address the unintended consequences of both HB 1262 and the law as it is currently applied.</w:t>
      </w:r>
    </w:p>
    <w:p w14:paraId="3A556D98" w14:textId="77777777" w:rsidR="008058CC" w:rsidRDefault="008058CC" w:rsidP="00665265">
      <w:pPr>
        <w:rPr>
          <w:rFonts w:ascii="Times New Roman" w:hAnsi="Times New Roman" w:cs="Times New Roman"/>
        </w:rPr>
      </w:pPr>
    </w:p>
    <w:p w14:paraId="7A5A3EDA" w14:textId="73F988FA" w:rsidR="008058CC" w:rsidRDefault="008058CC" w:rsidP="00665265">
      <w:pPr>
        <w:rPr>
          <w:rFonts w:ascii="Times New Roman" w:hAnsi="Times New Roman" w:cs="Times New Roman"/>
        </w:rPr>
      </w:pPr>
      <w:r>
        <w:rPr>
          <w:rFonts w:ascii="Times New Roman" w:hAnsi="Times New Roman" w:cs="Times New Roman"/>
        </w:rPr>
        <w:t>Thank you for your consideration of these comments.</w:t>
      </w:r>
    </w:p>
    <w:p w14:paraId="4708C6AC" w14:textId="77777777" w:rsidR="008058CC" w:rsidRDefault="008058CC" w:rsidP="00665265">
      <w:pPr>
        <w:rPr>
          <w:rFonts w:ascii="Times New Roman" w:hAnsi="Times New Roman" w:cs="Times New Roman"/>
        </w:rPr>
      </w:pPr>
    </w:p>
    <w:p w14:paraId="36BA8508" w14:textId="50434763" w:rsidR="008058CC" w:rsidRDefault="008058CC" w:rsidP="00665265">
      <w:pPr>
        <w:rPr>
          <w:rFonts w:ascii="Times New Roman" w:hAnsi="Times New Roman" w:cs="Times New Roman"/>
        </w:rPr>
      </w:pPr>
      <w:r>
        <w:rPr>
          <w:rFonts w:ascii="Times New Roman" w:hAnsi="Times New Roman" w:cs="Times New Roman"/>
        </w:rPr>
        <w:t>Respectfully yours,</w:t>
      </w:r>
    </w:p>
    <w:p w14:paraId="74BB716C" w14:textId="77777777" w:rsidR="008058CC" w:rsidRDefault="008058CC" w:rsidP="00665265">
      <w:pPr>
        <w:rPr>
          <w:rFonts w:ascii="Times New Roman" w:hAnsi="Times New Roman" w:cs="Times New Roman"/>
        </w:rPr>
      </w:pPr>
    </w:p>
    <w:p w14:paraId="3974E261" w14:textId="6A726B8E" w:rsidR="008058CC" w:rsidRDefault="008058CC" w:rsidP="00665265">
      <w:pPr>
        <w:rPr>
          <w:rFonts w:ascii="Times New Roman" w:hAnsi="Times New Roman" w:cs="Times New Roman"/>
        </w:rPr>
      </w:pPr>
      <w:r>
        <w:rPr>
          <w:rFonts w:ascii="Times New Roman" w:hAnsi="Times New Roman" w:cs="Times New Roman"/>
        </w:rPr>
        <w:t>Catherine Hanssens, Executive Director</w:t>
      </w:r>
    </w:p>
    <w:p w14:paraId="429520DE" w14:textId="01CF6337" w:rsidR="008058CC" w:rsidRDefault="008058CC" w:rsidP="00665265">
      <w:pPr>
        <w:rPr>
          <w:rFonts w:ascii="Times New Roman" w:hAnsi="Times New Roman" w:cs="Times New Roman"/>
        </w:rPr>
      </w:pPr>
      <w:r>
        <w:rPr>
          <w:rFonts w:ascii="Times New Roman" w:hAnsi="Times New Roman" w:cs="Times New Roman"/>
        </w:rPr>
        <w:t>The Center for HIV Law and Policy</w:t>
      </w:r>
    </w:p>
    <w:p w14:paraId="55FB26B5" w14:textId="77777777" w:rsidR="008058CC" w:rsidRDefault="008058CC" w:rsidP="00665265">
      <w:pPr>
        <w:rPr>
          <w:rFonts w:ascii="Times New Roman" w:hAnsi="Times New Roman" w:cs="Times New Roman"/>
        </w:rPr>
      </w:pPr>
    </w:p>
    <w:p w14:paraId="1F08CBF1" w14:textId="2CABC70F" w:rsidR="008058CC" w:rsidRDefault="008058CC" w:rsidP="00665265">
      <w:pPr>
        <w:rPr>
          <w:rFonts w:ascii="Times New Roman" w:hAnsi="Times New Roman" w:cs="Times New Roman"/>
        </w:rPr>
      </w:pPr>
      <w:r>
        <w:rPr>
          <w:rFonts w:ascii="Times New Roman" w:hAnsi="Times New Roman" w:cs="Times New Roman"/>
        </w:rPr>
        <w:t>Jeffrey Birnbaum, MD</w:t>
      </w:r>
    </w:p>
    <w:p w14:paraId="550045F1" w14:textId="0D9406D9" w:rsidR="008058CC" w:rsidRDefault="008058CC" w:rsidP="00665265">
      <w:pPr>
        <w:rPr>
          <w:rFonts w:ascii="Times New Roman" w:hAnsi="Times New Roman" w:cs="Times New Roman"/>
        </w:rPr>
      </w:pPr>
      <w:r>
        <w:rPr>
          <w:rFonts w:ascii="Times New Roman" w:hAnsi="Times New Roman" w:cs="Times New Roman"/>
        </w:rPr>
        <w:t>Director, HEAT Program</w:t>
      </w:r>
    </w:p>
    <w:p w14:paraId="02D76231" w14:textId="36570825" w:rsidR="008058CC" w:rsidRDefault="008058CC" w:rsidP="00665265">
      <w:pPr>
        <w:rPr>
          <w:rFonts w:ascii="Times New Roman" w:hAnsi="Times New Roman" w:cs="Times New Roman"/>
        </w:rPr>
      </w:pPr>
      <w:r>
        <w:rPr>
          <w:rFonts w:ascii="Times New Roman" w:hAnsi="Times New Roman" w:cs="Times New Roman"/>
        </w:rPr>
        <w:t>SUNY-Downstate Medical Center</w:t>
      </w:r>
    </w:p>
    <w:p w14:paraId="383AD9F5" w14:textId="77777777" w:rsidR="008058CC" w:rsidRDefault="008058CC" w:rsidP="00665265">
      <w:pPr>
        <w:rPr>
          <w:rFonts w:ascii="Times New Roman" w:hAnsi="Times New Roman" w:cs="Times New Roman"/>
        </w:rPr>
      </w:pPr>
    </w:p>
    <w:p w14:paraId="44C86EE9" w14:textId="39C32FBE" w:rsidR="008058CC" w:rsidRDefault="00830F61" w:rsidP="00665265">
      <w:pPr>
        <w:rPr>
          <w:rFonts w:ascii="Times New Roman" w:hAnsi="Times New Roman" w:cs="Times New Roman"/>
        </w:rPr>
      </w:pPr>
      <w:r>
        <w:rPr>
          <w:rFonts w:ascii="Times New Roman" w:hAnsi="Times New Roman" w:cs="Times New Roman"/>
        </w:rPr>
        <w:t>Orlando Gotay, Esq.</w:t>
      </w:r>
    </w:p>
    <w:p w14:paraId="3969ED04" w14:textId="050F5895" w:rsidR="008058CC" w:rsidRDefault="008058CC" w:rsidP="00665265">
      <w:pPr>
        <w:rPr>
          <w:rFonts w:ascii="Times New Roman" w:hAnsi="Times New Roman" w:cs="Times New Roman"/>
        </w:rPr>
      </w:pPr>
      <w:r>
        <w:rPr>
          <w:rFonts w:ascii="Times New Roman" w:hAnsi="Times New Roman" w:cs="Times New Roman"/>
        </w:rPr>
        <w:t>Legislative Consultant</w:t>
      </w:r>
    </w:p>
    <w:p w14:paraId="43E04E66" w14:textId="77777777" w:rsidR="008058CC" w:rsidRDefault="008058CC" w:rsidP="00665265">
      <w:pPr>
        <w:rPr>
          <w:rFonts w:ascii="Times New Roman" w:hAnsi="Times New Roman" w:cs="Times New Roman"/>
        </w:rPr>
      </w:pPr>
    </w:p>
    <w:p w14:paraId="0F2C796C" w14:textId="77777777" w:rsidR="008058CC" w:rsidRDefault="008058CC" w:rsidP="00665265">
      <w:pPr>
        <w:rPr>
          <w:rFonts w:ascii="Times New Roman" w:hAnsi="Times New Roman" w:cs="Times New Roman"/>
        </w:rPr>
      </w:pPr>
    </w:p>
    <w:p w14:paraId="0C1DF2F3" w14:textId="77777777" w:rsidR="008058CC" w:rsidRDefault="008058CC" w:rsidP="00665265">
      <w:pPr>
        <w:rPr>
          <w:rFonts w:ascii="Times New Roman" w:hAnsi="Times New Roman" w:cs="Times New Roman"/>
        </w:rPr>
      </w:pPr>
    </w:p>
    <w:p w14:paraId="73FE1012" w14:textId="77777777" w:rsidR="008058CC" w:rsidRPr="001345D9" w:rsidRDefault="008058CC" w:rsidP="00665265">
      <w:pPr>
        <w:rPr>
          <w:rFonts w:ascii="Times New Roman" w:hAnsi="Times New Roman" w:cs="Times New Roman"/>
        </w:rPr>
      </w:pPr>
    </w:p>
    <w:sectPr w:rsidR="008058CC" w:rsidRPr="001345D9" w:rsidSect="00AD194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36B3B" w14:textId="77777777" w:rsidR="00C35D7A" w:rsidRDefault="00C35D7A" w:rsidP="00C35D7A">
      <w:r>
        <w:separator/>
      </w:r>
    </w:p>
  </w:endnote>
  <w:endnote w:type="continuationSeparator" w:id="0">
    <w:p w14:paraId="6900B810" w14:textId="77777777" w:rsidR="00C35D7A" w:rsidRDefault="00C35D7A" w:rsidP="00C3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46238" w14:textId="77777777" w:rsidR="00C35D7A" w:rsidRDefault="00C35D7A" w:rsidP="005158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E3111E" w14:textId="77777777" w:rsidR="00C35D7A" w:rsidRDefault="00C35D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A002F" w14:textId="77777777" w:rsidR="00C35D7A" w:rsidRDefault="00C35D7A" w:rsidP="005158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0FEC">
      <w:rPr>
        <w:rStyle w:val="PageNumber"/>
        <w:noProof/>
      </w:rPr>
      <w:t>1</w:t>
    </w:r>
    <w:r>
      <w:rPr>
        <w:rStyle w:val="PageNumber"/>
      </w:rPr>
      <w:fldChar w:fldCharType="end"/>
    </w:r>
  </w:p>
  <w:p w14:paraId="01510719" w14:textId="77777777" w:rsidR="00C35D7A" w:rsidRDefault="00C35D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83DED" w14:textId="77777777" w:rsidR="00C35D7A" w:rsidRDefault="00C35D7A" w:rsidP="00C35D7A">
      <w:r>
        <w:separator/>
      </w:r>
    </w:p>
  </w:footnote>
  <w:footnote w:type="continuationSeparator" w:id="0">
    <w:p w14:paraId="21450302" w14:textId="77777777" w:rsidR="00C35D7A" w:rsidRDefault="00C35D7A" w:rsidP="00C35D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758DD"/>
    <w:multiLevelType w:val="hybridMultilevel"/>
    <w:tmpl w:val="ED02EF4C"/>
    <w:lvl w:ilvl="0" w:tplc="0409000F">
      <w:start w:val="1"/>
      <w:numFmt w:val="decimal"/>
      <w:lvlText w:val="%1."/>
      <w:lvlJc w:val="left"/>
      <w:pPr>
        <w:ind w:left="1080" w:hanging="360"/>
      </w:pPr>
      <w:rPr>
        <w:rFonts w:cs="Times New Roman" w:hint="default"/>
      </w:rPr>
    </w:lvl>
    <w:lvl w:ilvl="1" w:tplc="BA0E47EE">
      <w:start w:val="1"/>
      <w:numFmt w:val="lowerLetter"/>
      <w:lvlText w:val="%2."/>
      <w:lvlJc w:val="left"/>
      <w:pPr>
        <w:ind w:left="1800" w:hanging="360"/>
      </w:pPr>
      <w:rPr>
        <w:rFonts w:cs="Times New Roman"/>
        <w:i w:val="0"/>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73071469"/>
    <w:multiLevelType w:val="hybridMultilevel"/>
    <w:tmpl w:val="886E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92322E"/>
    <w:multiLevelType w:val="hybridMultilevel"/>
    <w:tmpl w:val="BBC86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2C"/>
    <w:rsid w:val="0007711B"/>
    <w:rsid w:val="001345D9"/>
    <w:rsid w:val="001C70B6"/>
    <w:rsid w:val="001F396A"/>
    <w:rsid w:val="005C244F"/>
    <w:rsid w:val="00665265"/>
    <w:rsid w:val="00680FEC"/>
    <w:rsid w:val="006C1038"/>
    <w:rsid w:val="00747CB2"/>
    <w:rsid w:val="0078364D"/>
    <w:rsid w:val="008058CC"/>
    <w:rsid w:val="00830F61"/>
    <w:rsid w:val="00941B79"/>
    <w:rsid w:val="009A72DE"/>
    <w:rsid w:val="009B280F"/>
    <w:rsid w:val="00A43F64"/>
    <w:rsid w:val="00A9020D"/>
    <w:rsid w:val="00AD1949"/>
    <w:rsid w:val="00B844BF"/>
    <w:rsid w:val="00B84F6C"/>
    <w:rsid w:val="00C35D7A"/>
    <w:rsid w:val="00D81180"/>
    <w:rsid w:val="00DE072C"/>
    <w:rsid w:val="00F276FF"/>
    <w:rsid w:val="00FE1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82C2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8118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072C"/>
    <w:rPr>
      <w:b/>
      <w:bCs/>
    </w:rPr>
  </w:style>
  <w:style w:type="character" w:customStyle="1" w:styleId="Heading2Char">
    <w:name w:val="Heading 2 Char"/>
    <w:basedOn w:val="DefaultParagraphFont"/>
    <w:link w:val="Heading2"/>
    <w:uiPriority w:val="9"/>
    <w:rsid w:val="00D81180"/>
    <w:rPr>
      <w:rFonts w:ascii="Times" w:hAnsi="Times"/>
      <w:b/>
      <w:bCs/>
      <w:sz w:val="36"/>
      <w:szCs w:val="36"/>
    </w:rPr>
  </w:style>
  <w:style w:type="paragraph" w:styleId="ListParagraph">
    <w:name w:val="List Paragraph"/>
    <w:basedOn w:val="Normal"/>
    <w:uiPriority w:val="99"/>
    <w:qFormat/>
    <w:rsid w:val="001F396A"/>
    <w:pPr>
      <w:ind w:left="720"/>
      <w:contextualSpacing/>
    </w:pPr>
  </w:style>
  <w:style w:type="paragraph" w:styleId="BalloonText">
    <w:name w:val="Balloon Text"/>
    <w:basedOn w:val="Normal"/>
    <w:link w:val="BalloonTextChar"/>
    <w:uiPriority w:val="99"/>
    <w:semiHidden/>
    <w:unhideWhenUsed/>
    <w:rsid w:val="00A902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020D"/>
    <w:rPr>
      <w:rFonts w:ascii="Lucida Grande" w:hAnsi="Lucida Grande" w:cs="Lucida Grande"/>
      <w:sz w:val="18"/>
      <w:szCs w:val="18"/>
    </w:rPr>
  </w:style>
  <w:style w:type="paragraph" w:styleId="Footer">
    <w:name w:val="footer"/>
    <w:basedOn w:val="Normal"/>
    <w:link w:val="FooterChar"/>
    <w:uiPriority w:val="99"/>
    <w:unhideWhenUsed/>
    <w:rsid w:val="00C35D7A"/>
    <w:pPr>
      <w:tabs>
        <w:tab w:val="center" w:pos="4320"/>
        <w:tab w:val="right" w:pos="8640"/>
      </w:tabs>
    </w:pPr>
  </w:style>
  <w:style w:type="character" w:customStyle="1" w:styleId="FooterChar">
    <w:name w:val="Footer Char"/>
    <w:basedOn w:val="DefaultParagraphFont"/>
    <w:link w:val="Footer"/>
    <w:uiPriority w:val="99"/>
    <w:rsid w:val="00C35D7A"/>
  </w:style>
  <w:style w:type="character" w:styleId="PageNumber">
    <w:name w:val="page number"/>
    <w:basedOn w:val="DefaultParagraphFont"/>
    <w:uiPriority w:val="99"/>
    <w:semiHidden/>
    <w:unhideWhenUsed/>
    <w:rsid w:val="00C35D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81180"/>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072C"/>
    <w:rPr>
      <w:b/>
      <w:bCs/>
    </w:rPr>
  </w:style>
  <w:style w:type="character" w:customStyle="1" w:styleId="Heading2Char">
    <w:name w:val="Heading 2 Char"/>
    <w:basedOn w:val="DefaultParagraphFont"/>
    <w:link w:val="Heading2"/>
    <w:uiPriority w:val="9"/>
    <w:rsid w:val="00D81180"/>
    <w:rPr>
      <w:rFonts w:ascii="Times" w:hAnsi="Times"/>
      <w:b/>
      <w:bCs/>
      <w:sz w:val="36"/>
      <w:szCs w:val="36"/>
    </w:rPr>
  </w:style>
  <w:style w:type="paragraph" w:styleId="ListParagraph">
    <w:name w:val="List Paragraph"/>
    <w:basedOn w:val="Normal"/>
    <w:uiPriority w:val="99"/>
    <w:qFormat/>
    <w:rsid w:val="001F396A"/>
    <w:pPr>
      <w:ind w:left="720"/>
      <w:contextualSpacing/>
    </w:pPr>
  </w:style>
  <w:style w:type="paragraph" w:styleId="BalloonText">
    <w:name w:val="Balloon Text"/>
    <w:basedOn w:val="Normal"/>
    <w:link w:val="BalloonTextChar"/>
    <w:uiPriority w:val="99"/>
    <w:semiHidden/>
    <w:unhideWhenUsed/>
    <w:rsid w:val="00A902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020D"/>
    <w:rPr>
      <w:rFonts w:ascii="Lucida Grande" w:hAnsi="Lucida Grande" w:cs="Lucida Grande"/>
      <w:sz w:val="18"/>
      <w:szCs w:val="18"/>
    </w:rPr>
  </w:style>
  <w:style w:type="paragraph" w:styleId="Footer">
    <w:name w:val="footer"/>
    <w:basedOn w:val="Normal"/>
    <w:link w:val="FooterChar"/>
    <w:uiPriority w:val="99"/>
    <w:unhideWhenUsed/>
    <w:rsid w:val="00C35D7A"/>
    <w:pPr>
      <w:tabs>
        <w:tab w:val="center" w:pos="4320"/>
        <w:tab w:val="right" w:pos="8640"/>
      </w:tabs>
    </w:pPr>
  </w:style>
  <w:style w:type="character" w:customStyle="1" w:styleId="FooterChar">
    <w:name w:val="Footer Char"/>
    <w:basedOn w:val="DefaultParagraphFont"/>
    <w:link w:val="Footer"/>
    <w:uiPriority w:val="99"/>
    <w:rsid w:val="00C35D7A"/>
  </w:style>
  <w:style w:type="character" w:styleId="PageNumber">
    <w:name w:val="page number"/>
    <w:basedOn w:val="DefaultParagraphFont"/>
    <w:uiPriority w:val="99"/>
    <w:semiHidden/>
    <w:unhideWhenUsed/>
    <w:rsid w:val="00C35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801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1294</Words>
  <Characters>7379</Characters>
  <Application>Microsoft Macintosh Word</Application>
  <DocSecurity>0</DocSecurity>
  <Lines>61</Lines>
  <Paragraphs>17</Paragraphs>
  <ScaleCrop>false</ScaleCrop>
  <Company>Orlando Gotay</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Gotay</dc:creator>
  <cp:keywords/>
  <dc:description/>
  <cp:lastModifiedBy>Ivan Espinoza-Madrigal</cp:lastModifiedBy>
  <cp:revision>2</cp:revision>
  <cp:lastPrinted>2013-01-31T03:02:00Z</cp:lastPrinted>
  <dcterms:created xsi:type="dcterms:W3CDTF">2014-02-19T23:02:00Z</dcterms:created>
  <dcterms:modified xsi:type="dcterms:W3CDTF">2014-02-19T23:02:00Z</dcterms:modified>
</cp:coreProperties>
</file>